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AC36FA" w:rsidTr="00AC36FA">
        <w:trPr>
          <w:trHeight w:val="1977"/>
        </w:trPr>
        <w:tc>
          <w:tcPr>
            <w:tcW w:w="9999" w:type="dxa"/>
            <w:gridSpan w:val="5"/>
          </w:tcPr>
          <w:p w:rsidR="00AC36FA" w:rsidRDefault="00AC36FA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AC36FA" w:rsidRDefault="00AC36FA">
            <w:pPr>
              <w:pStyle w:val="a4"/>
              <w:rPr>
                <w:b w:val="0"/>
                <w:bCs/>
                <w:sz w:val="16"/>
              </w:rPr>
            </w:pPr>
          </w:p>
          <w:p w:rsidR="00AC36FA" w:rsidRDefault="00AC36FA">
            <w:pPr>
              <w:pStyle w:val="a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AC36FA" w:rsidRDefault="00AC36FA">
            <w:pPr>
              <w:widowControl w:val="0"/>
              <w:spacing w:line="259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AC36FA" w:rsidRDefault="00AC36FA">
            <w:pPr>
              <w:pStyle w:val="1"/>
              <w:rPr>
                <w:rFonts w:eastAsiaTheme="minorEastAsia"/>
                <w:b w:val="0"/>
              </w:rPr>
            </w:pPr>
            <w:proofErr w:type="gramStart"/>
            <w:r>
              <w:rPr>
                <w:rFonts w:eastAsiaTheme="minorEastAsia"/>
                <w:b w:val="0"/>
              </w:rPr>
              <w:t>П</w:t>
            </w:r>
            <w:proofErr w:type="gramEnd"/>
            <w:r>
              <w:rPr>
                <w:rFonts w:eastAsiaTheme="minorEastAsia"/>
                <w:b w:val="0"/>
              </w:rPr>
              <w:t xml:space="preserve"> Р О Т О К О Л</w:t>
            </w:r>
          </w:p>
          <w:p w:rsidR="00AC36FA" w:rsidRDefault="00AC36FA" w:rsidP="00AC36F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рассмотрения  заявок на участие в открытом аукционе</w:t>
            </w:r>
          </w:p>
        </w:tc>
      </w:tr>
      <w:tr w:rsidR="00AC36FA" w:rsidTr="00AC36FA">
        <w:trPr>
          <w:cantSplit/>
          <w:trHeight w:hRule="exact" w:val="423"/>
        </w:trPr>
        <w:tc>
          <w:tcPr>
            <w:tcW w:w="900" w:type="dxa"/>
            <w:vAlign w:val="bottom"/>
          </w:tcPr>
          <w:p w:rsidR="00AC36FA" w:rsidRDefault="00AC36FA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6FA" w:rsidRDefault="00AC36FA" w:rsidP="00AC36FA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14.05.2019</w:t>
            </w:r>
          </w:p>
        </w:tc>
        <w:tc>
          <w:tcPr>
            <w:tcW w:w="4680" w:type="dxa"/>
            <w:vAlign w:val="bottom"/>
            <w:hideMark/>
          </w:tcPr>
          <w:p w:rsidR="00AC36FA" w:rsidRDefault="00AC36FA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C36FA" w:rsidRDefault="00AC36FA" w:rsidP="00AC36FA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AC36FA" w:rsidRDefault="00AC36FA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AC36FA" w:rsidTr="00AC36FA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AC36FA" w:rsidRDefault="00AC36FA">
            <w:pPr>
              <w:pStyle w:val="a4"/>
              <w:rPr>
                <w:b w:val="0"/>
                <w:sz w:val="26"/>
                <w:szCs w:val="26"/>
              </w:rPr>
            </w:pPr>
          </w:p>
          <w:p w:rsidR="00AC36FA" w:rsidRDefault="00AC36FA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AC36FA" w:rsidRDefault="00AC36FA" w:rsidP="00AC36FA">
      <w:pPr>
        <w:ind w:firstLine="142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AC36FA" w:rsidRDefault="00AC36FA" w:rsidP="00AC36FA">
      <w:pPr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AC36FA" w:rsidRDefault="00AC36FA" w:rsidP="00AC36F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Гайнаншина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Марина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Салихзяновна</w:t>
      </w:r>
      <w:proofErr w:type="spellEnd"/>
      <w:r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AC36FA" w:rsidRDefault="00AC36FA" w:rsidP="00AC36FA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>
        <w:rPr>
          <w:rFonts w:ascii="Times New Roman" w:hAnsi="Times New Roman"/>
          <w:sz w:val="26"/>
          <w:szCs w:val="24"/>
        </w:rPr>
        <w:t xml:space="preserve"> – главный специалист комитета по управлению муниципальным имуществом Тамбовского района.</w:t>
      </w:r>
    </w:p>
    <w:p w:rsidR="00AC36FA" w:rsidRDefault="00AC36FA" w:rsidP="00AC36FA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>
        <w:rPr>
          <w:rFonts w:ascii="Times New Roman" w:hAnsi="Times New Roman" w:cs="Times New Roman"/>
          <w:sz w:val="26"/>
          <w:szCs w:val="24"/>
        </w:rPr>
        <w:tab/>
      </w:r>
    </w:p>
    <w:p w:rsidR="00AC36FA" w:rsidRDefault="00AC36FA" w:rsidP="00AC36F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Нестеров Павел Владимирович</w:t>
      </w:r>
      <w:r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района,</w:t>
      </w:r>
    </w:p>
    <w:p w:rsidR="00AC36FA" w:rsidRDefault="00AC36FA" w:rsidP="00AC36FA">
      <w:pPr>
        <w:spacing w:after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r>
        <w:rPr>
          <w:rFonts w:ascii="Times New Roman" w:hAnsi="Times New Roman"/>
          <w:b/>
          <w:sz w:val="26"/>
          <w:szCs w:val="24"/>
        </w:rPr>
        <w:t>Морозова Мария Михайловна</w:t>
      </w:r>
      <w:r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района,  </w:t>
      </w:r>
    </w:p>
    <w:p w:rsidR="00AC36FA" w:rsidRDefault="00AC36FA" w:rsidP="00AC36FA">
      <w:pPr>
        <w:spacing w:after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</w:t>
      </w:r>
      <w:r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района,</w:t>
      </w:r>
    </w:p>
    <w:p w:rsidR="00AC36FA" w:rsidRDefault="00AC36FA" w:rsidP="00AC36FA">
      <w:pPr>
        <w:spacing w:after="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  </w:t>
      </w:r>
    </w:p>
    <w:p w:rsidR="00AC36FA" w:rsidRDefault="00AC36FA" w:rsidP="00AC36FA">
      <w:pPr>
        <w:jc w:val="both"/>
        <w:rPr>
          <w:rFonts w:ascii="Times New Roman" w:hAnsi="Times New Roman"/>
          <w:color w:val="FF00FF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>
        <w:rPr>
          <w:rFonts w:ascii="Times New Roman" w:hAnsi="Times New Roman"/>
          <w:sz w:val="26"/>
          <w:szCs w:val="24"/>
        </w:rPr>
        <w:t>изм</w:t>
      </w:r>
      <w:proofErr w:type="spellEnd"/>
      <w:r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>
        <w:rPr>
          <w:rFonts w:ascii="Times New Roman" w:hAnsi="Times New Roman"/>
          <w:sz w:val="26"/>
          <w:szCs w:val="24"/>
        </w:rPr>
        <w:t>от</w:t>
      </w:r>
      <w:proofErr w:type="gramEnd"/>
      <w:r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229, от 12.07.2018 № 651) .</w:t>
      </w:r>
    </w:p>
    <w:p w:rsidR="00AC36FA" w:rsidRDefault="00AC36FA" w:rsidP="00AC36FA">
      <w:pPr>
        <w:ind w:firstLine="72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AC36FA" w:rsidRDefault="00AC36FA" w:rsidP="00AC36FA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(закрытого по составу участников аукциона) и признании претендентов участниками аукциона на право  </w:t>
      </w:r>
      <w:r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AC36FA" w:rsidRDefault="00AC36FA" w:rsidP="00AC36FA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>1.1.Наименование предмета аукциона: аренда земельных участков, государственная собственность  на который не разграничена, категория земель: «земли населенных пунктов»:</w:t>
      </w:r>
    </w:p>
    <w:p w:rsidR="00AC36FA" w:rsidRPr="00BB3E43" w:rsidRDefault="00AC36FA" w:rsidP="00AC36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BB3E43">
        <w:rPr>
          <w:rFonts w:ascii="Times New Roman" w:hAnsi="Times New Roman"/>
          <w:sz w:val="26"/>
          <w:szCs w:val="28"/>
        </w:rPr>
        <w:t xml:space="preserve">Лот № 1 – земельный участок с кадастровым  номером  28:25:010914:161, площадью – 6270 кв.м., местоположение: Амурская область, Тамбовский район,  </w:t>
      </w:r>
      <w:proofErr w:type="gramStart"/>
      <w:r w:rsidRPr="00BB3E43">
        <w:rPr>
          <w:rFonts w:ascii="Times New Roman" w:hAnsi="Times New Roman"/>
          <w:sz w:val="26"/>
          <w:szCs w:val="28"/>
        </w:rPr>
        <w:t>с</w:t>
      </w:r>
      <w:proofErr w:type="gramEnd"/>
      <w:r w:rsidRPr="00BB3E43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BB3E43">
        <w:rPr>
          <w:rFonts w:ascii="Times New Roman" w:hAnsi="Times New Roman"/>
          <w:sz w:val="26"/>
          <w:szCs w:val="28"/>
        </w:rPr>
        <w:t>Новоалександровка</w:t>
      </w:r>
      <w:proofErr w:type="gramEnd"/>
      <w:r w:rsidRPr="00BB3E43">
        <w:rPr>
          <w:rFonts w:ascii="Times New Roman" w:hAnsi="Times New Roman"/>
          <w:sz w:val="26"/>
          <w:szCs w:val="28"/>
        </w:rPr>
        <w:t>, ул. Озерная, для ведения личного подсобного хозяйства,  срок аренды 20 лет;</w:t>
      </w:r>
    </w:p>
    <w:p w:rsidR="00AC36FA" w:rsidRPr="00BB3E43" w:rsidRDefault="00AC36FA" w:rsidP="00AC36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BB3E43">
        <w:rPr>
          <w:rFonts w:ascii="Times New Roman" w:hAnsi="Times New Roman"/>
          <w:sz w:val="26"/>
          <w:szCs w:val="28"/>
        </w:rPr>
        <w:t xml:space="preserve">Лот № 2 – земельный участок с кадастровым  номером  28:25:011201:37, площадью – 3331 кв.м., местоположение: Амурская область, Тамбовский район,  с. </w:t>
      </w:r>
      <w:proofErr w:type="spellStart"/>
      <w:r w:rsidRPr="00BB3E43">
        <w:rPr>
          <w:rFonts w:ascii="Times New Roman" w:hAnsi="Times New Roman"/>
          <w:sz w:val="26"/>
          <w:szCs w:val="28"/>
        </w:rPr>
        <w:t>Жариково</w:t>
      </w:r>
      <w:proofErr w:type="spellEnd"/>
      <w:r w:rsidRPr="00BB3E43">
        <w:rPr>
          <w:rFonts w:ascii="Times New Roman" w:hAnsi="Times New Roman"/>
          <w:sz w:val="26"/>
          <w:szCs w:val="28"/>
        </w:rPr>
        <w:t>, ул. Юбилейная, д. 53, для ведения личного подсобного хозяйства,  срок аренды 20 лет.</w:t>
      </w:r>
    </w:p>
    <w:p w:rsidR="00AC36FA" w:rsidRDefault="00AC36FA" w:rsidP="00AC36FA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Дата начала приема заявок на участие в аукционе – 16 апреля 2019 года.</w:t>
      </w:r>
    </w:p>
    <w:p w:rsidR="00AC36FA" w:rsidRDefault="00AC36FA" w:rsidP="00AC36FA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Дата окончания приема заявок на участие в аукционе -  13 мая 2019 в  16.00 часов.</w:t>
      </w:r>
    </w:p>
    <w:p w:rsidR="00AC36FA" w:rsidRDefault="00AC36FA" w:rsidP="00AC36FA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Дата определения участников аукциона – 14 мая 2019 года в 10.00 час.</w:t>
      </w:r>
    </w:p>
    <w:p w:rsidR="00AC36FA" w:rsidRDefault="00AC36FA" w:rsidP="00AC36FA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>
        <w:rPr>
          <w:rFonts w:ascii="Times New Roman" w:hAnsi="Times New Roman"/>
          <w:sz w:val="26"/>
          <w:szCs w:val="24"/>
        </w:rPr>
        <w:t>с</w:t>
      </w:r>
      <w:proofErr w:type="gramEnd"/>
      <w:r>
        <w:rPr>
          <w:rFonts w:ascii="Times New Roman" w:hAnsi="Times New Roman"/>
          <w:sz w:val="26"/>
          <w:szCs w:val="24"/>
        </w:rPr>
        <w:t xml:space="preserve">. Тамбовка, ул. Ленинская, д. 90, </w:t>
      </w:r>
      <w:proofErr w:type="spellStart"/>
      <w:r>
        <w:rPr>
          <w:rFonts w:ascii="Times New Roman" w:hAnsi="Times New Roman"/>
          <w:sz w:val="26"/>
          <w:szCs w:val="24"/>
        </w:rPr>
        <w:t>каб</w:t>
      </w:r>
      <w:proofErr w:type="spellEnd"/>
      <w:r>
        <w:rPr>
          <w:rFonts w:ascii="Times New Roman" w:hAnsi="Times New Roman"/>
          <w:sz w:val="26"/>
          <w:szCs w:val="24"/>
        </w:rPr>
        <w:t xml:space="preserve">. 13. Контактный телефон: 8(41638) 21376. </w:t>
      </w:r>
    </w:p>
    <w:p w:rsidR="00AC36FA" w:rsidRDefault="00AC36FA" w:rsidP="00AC36FA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2. Извещение о проведен</w:t>
      </w:r>
      <w:proofErr w:type="gramStart"/>
      <w:r>
        <w:rPr>
          <w:rFonts w:ascii="Times New Roman" w:hAnsi="Times New Roman"/>
          <w:sz w:val="26"/>
          <w:szCs w:val="24"/>
        </w:rPr>
        <w:t>ии ау</w:t>
      </w:r>
      <w:proofErr w:type="gramEnd"/>
      <w:r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>
        <w:rPr>
          <w:rFonts w:ascii="Times New Roman" w:hAnsi="Times New Roman"/>
          <w:sz w:val="26"/>
          <w:szCs w:val="24"/>
          <w:lang w:val="en-US"/>
        </w:rPr>
        <w:t>www</w:t>
      </w:r>
      <w:r>
        <w:rPr>
          <w:rFonts w:ascii="Times New Roman" w:hAnsi="Times New Roman"/>
          <w:sz w:val="26"/>
          <w:szCs w:val="24"/>
        </w:rPr>
        <w:t>.</w:t>
      </w:r>
      <w:proofErr w:type="spellStart"/>
      <w:r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>
        <w:rPr>
          <w:rFonts w:ascii="Times New Roman" w:hAnsi="Times New Roman"/>
          <w:sz w:val="26"/>
          <w:szCs w:val="24"/>
        </w:rPr>
        <w:t>.</w:t>
      </w:r>
      <w:proofErr w:type="spellStart"/>
      <w:r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4"/>
        </w:rPr>
        <w:t>.</w:t>
      </w:r>
      <w:proofErr w:type="spellStart"/>
      <w:r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4"/>
        </w:rPr>
        <w:t xml:space="preserve"> в сети Интернет «15» апреля 2019 г., на сайте Администрации Тамбовского района </w:t>
      </w:r>
      <w:r w:rsidR="00CD43B7">
        <w:rPr>
          <w:rFonts w:ascii="Times New Roman" w:hAnsi="Times New Roman"/>
          <w:sz w:val="26"/>
          <w:szCs w:val="24"/>
        </w:rPr>
        <w:t>15 апреля</w:t>
      </w:r>
      <w:r>
        <w:rPr>
          <w:rFonts w:ascii="Times New Roman" w:hAnsi="Times New Roman"/>
          <w:sz w:val="26"/>
          <w:szCs w:val="24"/>
        </w:rPr>
        <w:t xml:space="preserve">  2019 г.</w:t>
      </w:r>
    </w:p>
    <w:p w:rsidR="00AC36FA" w:rsidRDefault="00AC36FA" w:rsidP="00AC36FA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>
        <w:rPr>
          <w:rFonts w:ascii="Times New Roman" w:hAnsi="Times New Roman"/>
          <w:sz w:val="26"/>
          <w:szCs w:val="24"/>
        </w:rPr>
        <w:br/>
        <w:t xml:space="preserve">аукционной комиссией в период с 10 час. </w:t>
      </w:r>
      <w:r w:rsidR="00CD43B7">
        <w:rPr>
          <w:rFonts w:ascii="Times New Roman" w:hAnsi="Times New Roman"/>
          <w:sz w:val="26"/>
          <w:szCs w:val="24"/>
        </w:rPr>
        <w:t>00</w:t>
      </w:r>
      <w:r>
        <w:rPr>
          <w:rFonts w:ascii="Times New Roman" w:hAnsi="Times New Roman"/>
          <w:sz w:val="26"/>
          <w:szCs w:val="24"/>
        </w:rPr>
        <w:t xml:space="preserve"> мин. «</w:t>
      </w:r>
      <w:r w:rsidR="00CD43B7">
        <w:rPr>
          <w:rFonts w:ascii="Times New Roman" w:hAnsi="Times New Roman"/>
          <w:sz w:val="26"/>
          <w:szCs w:val="24"/>
        </w:rPr>
        <w:t>14</w:t>
      </w:r>
      <w:r>
        <w:rPr>
          <w:rFonts w:ascii="Times New Roman" w:hAnsi="Times New Roman"/>
          <w:sz w:val="26"/>
          <w:szCs w:val="24"/>
        </w:rPr>
        <w:t xml:space="preserve">» </w:t>
      </w:r>
      <w:r w:rsidR="00CD43B7">
        <w:rPr>
          <w:rFonts w:ascii="Times New Roman" w:hAnsi="Times New Roman"/>
          <w:sz w:val="26"/>
          <w:szCs w:val="24"/>
        </w:rPr>
        <w:t>мая</w:t>
      </w:r>
      <w:r>
        <w:rPr>
          <w:rFonts w:ascii="Times New Roman" w:hAnsi="Times New Roman"/>
          <w:sz w:val="26"/>
          <w:szCs w:val="24"/>
        </w:rPr>
        <w:t xml:space="preserve"> 2019 г.</w:t>
      </w:r>
      <w:r>
        <w:rPr>
          <w:rFonts w:ascii="Times New Roman" w:hAnsi="Times New Roman"/>
          <w:sz w:val="26"/>
          <w:szCs w:val="24"/>
        </w:rPr>
        <w:br/>
        <w:t xml:space="preserve">до 10 час. </w:t>
      </w:r>
      <w:r w:rsidR="00CD43B7">
        <w:rPr>
          <w:rFonts w:ascii="Times New Roman" w:hAnsi="Times New Roman"/>
          <w:sz w:val="26"/>
          <w:szCs w:val="24"/>
        </w:rPr>
        <w:t>10</w:t>
      </w:r>
      <w:r>
        <w:rPr>
          <w:rFonts w:ascii="Times New Roman" w:hAnsi="Times New Roman"/>
          <w:sz w:val="26"/>
          <w:szCs w:val="24"/>
        </w:rPr>
        <w:t xml:space="preserve"> мин. «</w:t>
      </w:r>
      <w:r w:rsidR="00CD43B7">
        <w:rPr>
          <w:rFonts w:ascii="Times New Roman" w:hAnsi="Times New Roman"/>
          <w:sz w:val="26"/>
          <w:szCs w:val="24"/>
        </w:rPr>
        <w:t>14»</w:t>
      </w:r>
      <w:r>
        <w:rPr>
          <w:rFonts w:ascii="Times New Roman" w:hAnsi="Times New Roman"/>
          <w:sz w:val="26"/>
          <w:szCs w:val="24"/>
        </w:rPr>
        <w:t xml:space="preserve"> </w:t>
      </w:r>
      <w:r w:rsidR="00CD43B7">
        <w:rPr>
          <w:rFonts w:ascii="Times New Roman" w:hAnsi="Times New Roman"/>
          <w:sz w:val="26"/>
          <w:szCs w:val="24"/>
        </w:rPr>
        <w:t xml:space="preserve"> мая</w:t>
      </w:r>
      <w:r>
        <w:rPr>
          <w:rFonts w:ascii="Times New Roman" w:hAnsi="Times New Roman"/>
          <w:sz w:val="26"/>
          <w:szCs w:val="24"/>
        </w:rPr>
        <w:t xml:space="preserve">  2019 г. по адресу с</w:t>
      </w:r>
      <w:proofErr w:type="gramStart"/>
      <w:r>
        <w:rPr>
          <w:rFonts w:ascii="Times New Roman" w:hAnsi="Times New Roman"/>
          <w:sz w:val="26"/>
          <w:szCs w:val="24"/>
        </w:rPr>
        <w:t>.Т</w:t>
      </w:r>
      <w:proofErr w:type="gramEnd"/>
      <w:r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AC36FA" w:rsidRDefault="00AC36FA" w:rsidP="00AC36FA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4"/>
        </w:rPr>
        <w:t xml:space="preserve"> «</w:t>
      </w:r>
      <w:r w:rsidR="00CD43B7">
        <w:rPr>
          <w:rFonts w:ascii="Times New Roman" w:hAnsi="Times New Roman"/>
          <w:sz w:val="26"/>
          <w:szCs w:val="24"/>
        </w:rPr>
        <w:t>13</w:t>
      </w:r>
      <w:r>
        <w:rPr>
          <w:rFonts w:ascii="Times New Roman" w:hAnsi="Times New Roman"/>
          <w:sz w:val="26"/>
          <w:szCs w:val="24"/>
        </w:rPr>
        <w:t xml:space="preserve">» </w:t>
      </w:r>
      <w:r w:rsidR="00CD43B7">
        <w:rPr>
          <w:rFonts w:ascii="Times New Roman" w:hAnsi="Times New Roman"/>
          <w:sz w:val="26"/>
          <w:szCs w:val="24"/>
        </w:rPr>
        <w:t>мая</w:t>
      </w:r>
      <w:r>
        <w:rPr>
          <w:rFonts w:ascii="Times New Roman" w:hAnsi="Times New Roman"/>
          <w:sz w:val="26"/>
          <w:szCs w:val="24"/>
        </w:rPr>
        <w:t xml:space="preserve"> 2019 г. 16 часов 00 минут (время</w:t>
      </w:r>
      <w:r>
        <w:rPr>
          <w:rFonts w:ascii="Times New Roman" w:hAnsi="Times New Roman"/>
          <w:sz w:val="26"/>
          <w:szCs w:val="24"/>
        </w:rPr>
        <w:br/>
        <w:t xml:space="preserve">местное) </w:t>
      </w:r>
      <w:r w:rsidR="00CD43B7">
        <w:rPr>
          <w:rFonts w:ascii="Times New Roman" w:hAnsi="Times New Roman"/>
          <w:sz w:val="26"/>
          <w:szCs w:val="24"/>
        </w:rPr>
        <w:t>ни одной заявки не поступило</w:t>
      </w:r>
      <w:r>
        <w:rPr>
          <w:rFonts w:ascii="Times New Roman" w:hAnsi="Times New Roman"/>
          <w:sz w:val="26"/>
          <w:szCs w:val="24"/>
        </w:rPr>
        <w:t xml:space="preserve"> </w:t>
      </w:r>
    </w:p>
    <w:p w:rsidR="00AC36FA" w:rsidRDefault="00CD43B7" w:rsidP="00CD43B7">
      <w:pPr>
        <w:ind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5.  </w:t>
      </w:r>
      <w:r w:rsidR="00AC36FA">
        <w:rPr>
          <w:rFonts w:ascii="Times New Roman" w:hAnsi="Times New Roman"/>
          <w:sz w:val="26"/>
          <w:szCs w:val="24"/>
        </w:rPr>
        <w:t>Претендентов, которым отказано в допуске к участию в торгах, нет.</w:t>
      </w:r>
    </w:p>
    <w:p w:rsidR="00AC36FA" w:rsidRDefault="00AC36FA" w:rsidP="00AC36FA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4"/>
        </w:rPr>
        <w:t xml:space="preserve"> «</w:t>
      </w:r>
      <w:r w:rsidR="00CD43B7">
        <w:rPr>
          <w:rFonts w:ascii="Times New Roman" w:hAnsi="Times New Roman"/>
          <w:sz w:val="26"/>
          <w:szCs w:val="24"/>
        </w:rPr>
        <w:t>13</w:t>
      </w:r>
      <w:r>
        <w:rPr>
          <w:rFonts w:ascii="Times New Roman" w:hAnsi="Times New Roman"/>
          <w:sz w:val="26"/>
          <w:szCs w:val="24"/>
        </w:rPr>
        <w:t xml:space="preserve">» </w:t>
      </w:r>
      <w:r w:rsidR="00CD43B7">
        <w:rPr>
          <w:rFonts w:ascii="Times New Roman" w:hAnsi="Times New Roman"/>
          <w:sz w:val="26"/>
          <w:szCs w:val="24"/>
        </w:rPr>
        <w:t>мая</w:t>
      </w:r>
      <w:r>
        <w:rPr>
          <w:rFonts w:ascii="Times New Roman" w:hAnsi="Times New Roman"/>
          <w:sz w:val="26"/>
          <w:szCs w:val="24"/>
        </w:rPr>
        <w:t xml:space="preserve"> 2019 г. 16 часов 00 минут</w:t>
      </w:r>
      <w:r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>
        <w:rPr>
          <w:rFonts w:ascii="Times New Roman" w:hAnsi="Times New Roman"/>
          <w:sz w:val="26"/>
          <w:szCs w:val="24"/>
        </w:rPr>
        <w:br/>
        <w:t xml:space="preserve">         7. Аукционная комиссия приняла решение:</w:t>
      </w:r>
    </w:p>
    <w:p w:rsidR="00AC36FA" w:rsidRDefault="00AC36FA" w:rsidP="00CD43B7">
      <w:pPr>
        <w:jc w:val="both"/>
        <w:rPr>
          <w:rFonts w:ascii="Times New Roman" w:hAnsi="Times New Roman"/>
          <w:sz w:val="26"/>
          <w:szCs w:val="28"/>
          <w:lang w:eastAsia="en-US"/>
        </w:rPr>
      </w:pPr>
      <w:r>
        <w:rPr>
          <w:rFonts w:ascii="Times New Roman" w:hAnsi="Times New Roman"/>
          <w:sz w:val="26"/>
          <w:szCs w:val="24"/>
        </w:rPr>
        <w:t xml:space="preserve">          </w:t>
      </w:r>
      <w:r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>
        <w:rPr>
          <w:rFonts w:ascii="Times New Roman" w:hAnsi="Times New Roman"/>
          <w:sz w:val="26"/>
          <w:szCs w:val="28"/>
        </w:rPr>
        <w:t>ч</w:t>
      </w:r>
      <w:proofErr w:type="gramEnd"/>
      <w:r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</w:t>
      </w:r>
      <w:r w:rsidR="00CD43B7">
        <w:rPr>
          <w:rFonts w:ascii="Times New Roman" w:hAnsi="Times New Roman"/>
          <w:sz w:val="26"/>
          <w:szCs w:val="28"/>
        </w:rPr>
        <w:t>н</w:t>
      </w:r>
      <w:r w:rsidR="00467BDC">
        <w:rPr>
          <w:rFonts w:ascii="Times New Roman" w:hAnsi="Times New Roman"/>
          <w:sz w:val="26"/>
          <w:szCs w:val="28"/>
        </w:rPr>
        <w:t xml:space="preserve">е подано ни одной заявки </w:t>
      </w:r>
      <w:r>
        <w:rPr>
          <w:rFonts w:ascii="Times New Roman" w:hAnsi="Times New Roman"/>
          <w:sz w:val="26"/>
          <w:szCs w:val="28"/>
        </w:rPr>
        <w:t xml:space="preserve"> на участие в аукционе, аукцион признается не состоявшимся. </w:t>
      </w:r>
    </w:p>
    <w:p w:rsidR="00AC36FA" w:rsidRDefault="00AC36FA" w:rsidP="00AC36FA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В силу закона, предлагаю признать аукцион по Лот</w:t>
      </w:r>
      <w:r w:rsidR="00467BDC">
        <w:rPr>
          <w:sz w:val="26"/>
          <w:szCs w:val="28"/>
        </w:rPr>
        <w:t>ам № 1, № 2</w:t>
      </w:r>
      <w:r>
        <w:rPr>
          <w:sz w:val="26"/>
          <w:szCs w:val="28"/>
        </w:rPr>
        <w:t xml:space="preserve">  не состоявшимся, учитывая нормы законодательства,</w:t>
      </w:r>
    </w:p>
    <w:p w:rsidR="00AC36FA" w:rsidRDefault="00AC36FA" w:rsidP="00AC36FA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AC36FA" w:rsidRDefault="00AC36FA" w:rsidP="00AC36FA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РЕШИЛИ: </w:t>
      </w:r>
    </w:p>
    <w:p w:rsidR="00AC36FA" w:rsidRDefault="00AC36FA" w:rsidP="00AC36FA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</w:p>
    <w:p w:rsidR="00AC36FA" w:rsidRDefault="00AC36FA" w:rsidP="00AC36FA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В соответствие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>. 14 ст. 39.12 Земельного кодекса Российской Федерации, в связи с тем, что по Лот</w:t>
      </w:r>
      <w:r w:rsidR="00467BDC">
        <w:rPr>
          <w:sz w:val="26"/>
          <w:szCs w:val="28"/>
        </w:rPr>
        <w:t>ам</w:t>
      </w:r>
      <w:r>
        <w:rPr>
          <w:sz w:val="26"/>
          <w:szCs w:val="28"/>
        </w:rPr>
        <w:t xml:space="preserve"> № 1</w:t>
      </w:r>
      <w:r w:rsidR="00467BDC">
        <w:rPr>
          <w:sz w:val="26"/>
          <w:szCs w:val="28"/>
        </w:rPr>
        <w:t>, № 2 не подано ни одной заявки на участие</w:t>
      </w:r>
      <w:r>
        <w:rPr>
          <w:sz w:val="26"/>
          <w:szCs w:val="28"/>
        </w:rPr>
        <w:t xml:space="preserve"> в аукционе, </w:t>
      </w:r>
      <w:r>
        <w:rPr>
          <w:b/>
          <w:sz w:val="26"/>
          <w:szCs w:val="28"/>
        </w:rPr>
        <w:t>признать аукцион по Лот</w:t>
      </w:r>
      <w:r w:rsidR="00467BDC">
        <w:rPr>
          <w:b/>
          <w:sz w:val="26"/>
          <w:szCs w:val="28"/>
        </w:rPr>
        <w:t>ам</w:t>
      </w:r>
      <w:r>
        <w:rPr>
          <w:b/>
          <w:sz w:val="26"/>
          <w:szCs w:val="28"/>
        </w:rPr>
        <w:t xml:space="preserve"> № 1</w:t>
      </w:r>
      <w:r w:rsidR="00467BDC">
        <w:rPr>
          <w:b/>
          <w:sz w:val="26"/>
          <w:szCs w:val="28"/>
        </w:rPr>
        <w:t xml:space="preserve">, № 2 </w:t>
      </w:r>
      <w:r>
        <w:rPr>
          <w:b/>
          <w:sz w:val="26"/>
          <w:szCs w:val="28"/>
        </w:rPr>
        <w:t xml:space="preserve"> не состоявшимся</w:t>
      </w:r>
      <w:r>
        <w:rPr>
          <w:sz w:val="26"/>
          <w:szCs w:val="28"/>
        </w:rPr>
        <w:t>.</w:t>
      </w:r>
    </w:p>
    <w:p w:rsidR="00AC36FA" w:rsidRDefault="00AC36FA" w:rsidP="00467BDC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Настоящий протокол рассмотрения заявок на участие в аукционе разместить на официальном сайте </w:t>
      </w:r>
      <w:hyperlink r:id="rId4" w:history="1">
        <w:r>
          <w:rPr>
            <w:rStyle w:val="a3"/>
            <w:sz w:val="26"/>
            <w:szCs w:val="28"/>
            <w:lang w:val="en-US"/>
          </w:rPr>
          <w:t>www</w:t>
        </w:r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torgi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gov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ru</w:t>
        </w:r>
        <w:proofErr w:type="spellEnd"/>
      </w:hyperlink>
      <w:r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>
        <w:rPr>
          <w:sz w:val="26"/>
          <w:szCs w:val="28"/>
          <w:u w:val="single"/>
        </w:rPr>
        <w:t>тамбр</w:t>
      </w:r>
      <w:proofErr w:type="gramStart"/>
      <w:r>
        <w:rPr>
          <w:sz w:val="26"/>
          <w:szCs w:val="28"/>
          <w:u w:val="single"/>
        </w:rPr>
        <w:t>.р</w:t>
      </w:r>
      <w:proofErr w:type="gramEnd"/>
      <w:r>
        <w:rPr>
          <w:sz w:val="26"/>
          <w:szCs w:val="28"/>
          <w:u w:val="single"/>
        </w:rPr>
        <w:t>ф</w:t>
      </w:r>
      <w:proofErr w:type="spellEnd"/>
      <w:r>
        <w:rPr>
          <w:sz w:val="26"/>
          <w:szCs w:val="28"/>
        </w:rPr>
        <w:br/>
      </w:r>
    </w:p>
    <w:p w:rsidR="00AC36FA" w:rsidRDefault="00AC36FA" w:rsidP="00AC36FA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AC36FA" w:rsidTr="00AC36FA">
        <w:trPr>
          <w:trHeight w:val="501"/>
        </w:trPr>
        <w:tc>
          <w:tcPr>
            <w:tcW w:w="2881" w:type="dxa"/>
            <w:hideMark/>
          </w:tcPr>
          <w:p w:rsidR="00AC36FA" w:rsidRDefault="00AC36FA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</w:t>
            </w:r>
          </w:p>
          <w:p w:rsidR="00AC36FA" w:rsidRDefault="00AC36FA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  <w:hideMark/>
          </w:tcPr>
          <w:p w:rsidR="00AC36FA" w:rsidRDefault="00AC36FA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«_________»          ____________ С.С. Евсеева</w:t>
            </w:r>
          </w:p>
          <w:p w:rsidR="00AC36FA" w:rsidRDefault="00AC36FA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>
              <w:rPr>
                <w:sz w:val="26"/>
                <w:szCs w:val="28"/>
              </w:rPr>
              <w:t>Гайнаншина</w:t>
            </w:r>
            <w:proofErr w:type="spellEnd"/>
          </w:p>
        </w:tc>
      </w:tr>
      <w:tr w:rsidR="00AC36FA" w:rsidTr="00AC36FA">
        <w:trPr>
          <w:trHeight w:val="2214"/>
        </w:trPr>
        <w:tc>
          <w:tcPr>
            <w:tcW w:w="2881" w:type="dxa"/>
          </w:tcPr>
          <w:p w:rsidR="00AC36FA" w:rsidRDefault="00AC36FA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Члены комиссии:</w:t>
            </w:r>
          </w:p>
          <w:p w:rsidR="00AC36FA" w:rsidRDefault="00AC36FA">
            <w:pPr>
              <w:pStyle w:val="a8"/>
              <w:ind w:left="0"/>
              <w:rPr>
                <w:sz w:val="26"/>
                <w:szCs w:val="28"/>
              </w:rPr>
            </w:pPr>
          </w:p>
          <w:p w:rsidR="00AC36FA" w:rsidRDefault="00AC36FA">
            <w:pPr>
              <w:pStyle w:val="a8"/>
              <w:ind w:left="0"/>
              <w:rPr>
                <w:sz w:val="26"/>
                <w:szCs w:val="28"/>
              </w:rPr>
            </w:pPr>
          </w:p>
          <w:p w:rsidR="00AC36FA" w:rsidRDefault="00AC36FA">
            <w:pPr>
              <w:pStyle w:val="a8"/>
              <w:ind w:left="0"/>
              <w:rPr>
                <w:sz w:val="26"/>
                <w:szCs w:val="28"/>
              </w:rPr>
            </w:pPr>
          </w:p>
          <w:p w:rsidR="00AC36FA" w:rsidRDefault="00AC36FA">
            <w:pPr>
              <w:pStyle w:val="a8"/>
              <w:ind w:left="0"/>
              <w:rPr>
                <w:sz w:val="26"/>
                <w:szCs w:val="28"/>
              </w:rPr>
            </w:pPr>
          </w:p>
          <w:p w:rsidR="00AC36FA" w:rsidRDefault="00AC36FA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AC36FA" w:rsidRDefault="00AC36FA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П.В.Нестеров</w:t>
            </w:r>
          </w:p>
          <w:p w:rsidR="00AC36FA" w:rsidRDefault="00AC36FA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М.М.Морозова</w:t>
            </w:r>
          </w:p>
          <w:p w:rsidR="00AC36FA" w:rsidRDefault="00AC36FA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____________  Н.В.Селедкова</w:t>
            </w:r>
          </w:p>
          <w:p w:rsidR="00AC36FA" w:rsidRDefault="00AC36FA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____________Н.А. </w:t>
            </w:r>
            <w:proofErr w:type="spellStart"/>
            <w:r>
              <w:rPr>
                <w:sz w:val="26"/>
                <w:szCs w:val="28"/>
              </w:rPr>
              <w:t>Турулин</w:t>
            </w:r>
            <w:proofErr w:type="spellEnd"/>
          </w:p>
          <w:p w:rsidR="00AC36FA" w:rsidRDefault="00AC36FA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>
              <w:rPr>
                <w:sz w:val="26"/>
                <w:szCs w:val="28"/>
              </w:rPr>
              <w:t>М.В.Матиенко</w:t>
            </w:r>
            <w:proofErr w:type="spellEnd"/>
          </w:p>
          <w:p w:rsidR="00AC36FA" w:rsidRDefault="00AC36FA">
            <w:pPr>
              <w:pStyle w:val="a8"/>
              <w:tabs>
                <w:tab w:val="left" w:pos="2355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</w:tc>
      </w:tr>
    </w:tbl>
    <w:p w:rsidR="00087440" w:rsidRDefault="00087440"/>
    <w:sectPr w:rsidR="0008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6FA"/>
    <w:rsid w:val="00087440"/>
    <w:rsid w:val="00467BDC"/>
    <w:rsid w:val="00AC36FA"/>
    <w:rsid w:val="00BB3E43"/>
    <w:rsid w:val="00CD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C36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36FA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AC36FA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AC36F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AC36FA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AC36FA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C36FA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AC36F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AC36FA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AC3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2019-05-16T06:31:00Z</cp:lastPrinted>
  <dcterms:created xsi:type="dcterms:W3CDTF">2019-05-16T06:02:00Z</dcterms:created>
  <dcterms:modified xsi:type="dcterms:W3CDTF">2019-05-16T06:32:00Z</dcterms:modified>
</cp:coreProperties>
</file>