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B5" w:rsidRDefault="00B347CA">
      <w:pPr>
        <w:ind w:left="-1134" w:right="-285" w:firstLine="708"/>
        <w:jc w:val="center"/>
      </w:pPr>
      <w:r>
        <w:rPr>
          <w:sz w:val="20"/>
          <w:szCs w:val="20"/>
        </w:rPr>
        <w:t>Информация</w:t>
      </w:r>
    </w:p>
    <w:p w:rsidR="00E014B5" w:rsidRDefault="00E014B5">
      <w:pPr>
        <w:ind w:left="-1134" w:right="-285" w:firstLine="708"/>
        <w:jc w:val="center"/>
        <w:rPr>
          <w:sz w:val="20"/>
          <w:szCs w:val="20"/>
        </w:rPr>
      </w:pPr>
    </w:p>
    <w:p w:rsidR="00E014B5" w:rsidRDefault="00B347CA">
      <w:pPr>
        <w:ind w:left="-1134" w:right="-285" w:firstLine="708"/>
        <w:jc w:val="both"/>
      </w:pPr>
      <w:r>
        <w:rPr>
          <w:sz w:val="20"/>
          <w:szCs w:val="20"/>
        </w:rPr>
        <w:t>Уважаемые граждане Тамбовского район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t xml:space="preserve"> направление лицензионно- разрешительной работы по Тамбовскому району Управления </w:t>
      </w:r>
      <w:proofErr w:type="spellStart"/>
      <w:r>
        <w:rPr>
          <w:sz w:val="20"/>
          <w:szCs w:val="20"/>
        </w:rPr>
        <w:t>Росгвардии</w:t>
      </w:r>
      <w:proofErr w:type="spellEnd"/>
      <w:r>
        <w:rPr>
          <w:sz w:val="20"/>
          <w:szCs w:val="20"/>
        </w:rPr>
        <w:t xml:space="preserve"> по Амурской области информирует Вас о том, что </w:t>
      </w:r>
      <w:hyperlink r:id="rId5">
        <w:r>
          <w:rPr>
            <w:rStyle w:val="a3"/>
            <w:color w:val="auto"/>
            <w:sz w:val="20"/>
            <w:szCs w:val="20"/>
          </w:rPr>
          <w:t>Постановлением Правительства Амурской области от 19.05.2014 года № 293 "Об утверждении Порядка выплаты вознаграждения гражданам, добровольно сдающим незаконно хранящееся у них оружие, боеприпасы, взрывчатые вещества и взрывные устройства"</w:t>
        </w:r>
      </w:hyperlink>
      <w:bookmarkStart w:id="0" w:name="sub_1"/>
      <w:r>
        <w:rPr>
          <w:sz w:val="20"/>
          <w:szCs w:val="20"/>
        </w:rPr>
        <w:t xml:space="preserve">, утверждён </w:t>
      </w:r>
      <w:hyperlink w:anchor="sub_1000">
        <w:r>
          <w:rPr>
            <w:rStyle w:val="a3"/>
            <w:color w:val="auto"/>
            <w:sz w:val="20"/>
            <w:szCs w:val="20"/>
          </w:rPr>
          <w:t>Порядок</w:t>
        </w:r>
      </w:hyperlink>
      <w:r>
        <w:rPr>
          <w:sz w:val="20"/>
          <w:szCs w:val="20"/>
        </w:rPr>
        <w:t xml:space="preserve"> выплаты вознаграждения гражданам, добровольно сдающим незаконно хранящееся у них оружие, боеприпасы, взрывчатые вещества и взрывные устройства.</w:t>
      </w:r>
      <w:bookmarkStart w:id="1" w:name="sub_1000"/>
      <w:bookmarkEnd w:id="0"/>
    </w:p>
    <w:p w:rsidR="00E014B5" w:rsidRDefault="00B347CA">
      <w:pPr>
        <w:ind w:left="-1134" w:right="-285"/>
        <w:jc w:val="both"/>
      </w:pPr>
      <w:bookmarkStart w:id="2" w:name="sub_1001"/>
      <w:bookmarkEnd w:id="1"/>
      <w:r>
        <w:rPr>
          <w:sz w:val="20"/>
          <w:szCs w:val="20"/>
        </w:rPr>
        <w:tab/>
      </w:r>
      <w:bookmarkStart w:id="3" w:name="sub_1002"/>
      <w:bookmarkEnd w:id="2"/>
      <w:r>
        <w:rPr>
          <w:sz w:val="20"/>
          <w:szCs w:val="20"/>
        </w:rPr>
        <w:t>Финансовое обеспечение расходов, связанных с выплатой вознаграждения, осуществ</w:t>
      </w:r>
      <w:r>
        <w:rPr>
          <w:sz w:val="20"/>
          <w:szCs w:val="20"/>
        </w:rPr>
        <w:t xml:space="preserve">ляется за счет средств областного бюджета в пределах бюджетных ассигнований, предусмотренных на указанные цели </w:t>
      </w:r>
      <w:hyperlink r:id="rId6">
        <w:r>
          <w:rPr>
            <w:rStyle w:val="a3"/>
            <w:color w:val="auto"/>
            <w:sz w:val="20"/>
            <w:szCs w:val="20"/>
          </w:rPr>
          <w:t>государственной программой</w:t>
        </w:r>
      </w:hyperlink>
      <w:r>
        <w:rPr>
          <w:sz w:val="20"/>
          <w:szCs w:val="20"/>
        </w:rPr>
        <w:t xml:space="preserve"> Амурской области "Снижение рисков и смягчение посл</w:t>
      </w:r>
      <w:r>
        <w:rPr>
          <w:sz w:val="20"/>
          <w:szCs w:val="20"/>
        </w:rPr>
        <w:t>едствий чрезвычайных ситуаций природного и техногенного характера, а также обеспечение безопасности населения области.</w:t>
      </w:r>
      <w:bookmarkEnd w:id="3"/>
    </w:p>
    <w:p w:rsidR="00E014B5" w:rsidRDefault="00B347CA">
      <w:pPr>
        <w:ind w:left="-1134" w:right="-285"/>
        <w:jc w:val="both"/>
      </w:pPr>
      <w:r>
        <w:rPr>
          <w:sz w:val="20"/>
          <w:szCs w:val="20"/>
        </w:rPr>
        <w:tab/>
        <w:t>Вознаграждение выплачивается гражданам за добровольно сданное в территориальный орган федерального органа исполнительной власти, уполном</w:t>
      </w:r>
      <w:r>
        <w:rPr>
          <w:sz w:val="20"/>
          <w:szCs w:val="20"/>
        </w:rPr>
        <w:t>оченного в сфере оборота оружия, незаконно хранящееся у них оружие, боеприпасы, взрывчатые вещества и взрывные устройства в зависимости от категории оружия в следующих размерах:</w:t>
      </w:r>
      <w:bookmarkStart w:id="4" w:name="sub_1003"/>
      <w:bookmarkEnd w:id="4"/>
    </w:p>
    <w:p w:rsidR="00E014B5" w:rsidRDefault="00B347CA">
      <w:pPr>
        <w:ind w:left="-1134" w:right="-285"/>
        <w:jc w:val="both"/>
      </w:pPr>
      <w:r>
        <w:rPr>
          <w:b/>
          <w:sz w:val="20"/>
          <w:szCs w:val="20"/>
        </w:rPr>
        <w:t>-автоматическое оружие 7500 рублей за одну единицу; охотничье и спортивное ору</w:t>
      </w:r>
      <w:r>
        <w:rPr>
          <w:b/>
          <w:sz w:val="20"/>
          <w:szCs w:val="20"/>
        </w:rPr>
        <w:t xml:space="preserve">жие с нарезным стволом, а также </w:t>
      </w:r>
      <w:proofErr w:type="gramStart"/>
      <w:r>
        <w:rPr>
          <w:b/>
          <w:sz w:val="20"/>
          <w:szCs w:val="20"/>
        </w:rPr>
        <w:t>комбинированное оружие 4000 рублей за одну единицу; артиллерийские снаряды, авиабомбы и кумулятивные заряды 4000 рублей за одну единицу; ручное реактивное оружие, гранатометы и боеприпасы к ним 3500 рублей за одну единицу; б</w:t>
      </w:r>
      <w:r>
        <w:rPr>
          <w:b/>
          <w:sz w:val="20"/>
          <w:szCs w:val="20"/>
        </w:rPr>
        <w:t>оевые, служебные револьверы и пистолеты, а также огнестрельное оружие ограниченного поражения 2000 рублей за одну единицу; ручные гранаты, мины 3000 рублей за одну единицу;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охотничье пневматическое оружие (с дульной энергией свыше 7,5 Дж), огнестрельное гл</w:t>
      </w:r>
      <w:r>
        <w:rPr>
          <w:b/>
          <w:sz w:val="20"/>
          <w:szCs w:val="20"/>
        </w:rPr>
        <w:t>адкоствольное оружие, спортивное гладкоствольное оружие 1500 рублей за одну единицу; взрывчатые вещества (кроме пороха) 1500 рублей за 100 граммов; газовые пистолеты и револьверы, а также самодельное огнестрельное оружие 750 рублей за одну единицу; детонат</w:t>
      </w:r>
      <w:r>
        <w:rPr>
          <w:b/>
          <w:sz w:val="20"/>
          <w:szCs w:val="20"/>
        </w:rPr>
        <w:t>оры 300 рублей за одну единицу; порох 50 рублей за 100 граммов;</w:t>
      </w:r>
      <w:proofErr w:type="gramEnd"/>
      <w:r>
        <w:rPr>
          <w:b/>
          <w:sz w:val="20"/>
          <w:szCs w:val="20"/>
        </w:rPr>
        <w:t xml:space="preserve"> боеприпасы к оружию с нарезным стволом 10 рублей за одну единицу; боеприпасы к гладкоствольному оружию 5 рублей за одну единицу</w:t>
      </w:r>
      <w:r>
        <w:rPr>
          <w:sz w:val="20"/>
          <w:szCs w:val="20"/>
        </w:rPr>
        <w:t>.</w:t>
      </w:r>
    </w:p>
    <w:p w:rsidR="00E014B5" w:rsidRDefault="00B347CA">
      <w:pPr>
        <w:ind w:left="-1134" w:right="-285"/>
        <w:jc w:val="both"/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Для получения вознаграждения гражданин представляет в управлен</w:t>
      </w:r>
      <w:r>
        <w:rPr>
          <w:sz w:val="20"/>
          <w:szCs w:val="20"/>
        </w:rPr>
        <w:t>ие по охране, контролю и регулированию использования объектов животного мира и среды их обитания Амурской области письменное заявление на имя начальника управления о выплате вознаграждения с указанием идентификационных и контактных данных гражданина (фамил</w:t>
      </w:r>
      <w:r>
        <w:rPr>
          <w:sz w:val="20"/>
          <w:szCs w:val="20"/>
        </w:rPr>
        <w:t>ия, имя, отчество, дата рождения, адрес места жительства (регистрации) или места пребывания, номер контактного телефона, идентификационный номер налогоплательщика и страховой номер индивидуального</w:t>
      </w:r>
      <w:proofErr w:type="gramEnd"/>
      <w:r>
        <w:rPr>
          <w:sz w:val="20"/>
          <w:szCs w:val="20"/>
        </w:rPr>
        <w:t xml:space="preserve"> лицевого счета, </w:t>
      </w:r>
      <w:proofErr w:type="gramStart"/>
      <w:r>
        <w:rPr>
          <w:sz w:val="20"/>
          <w:szCs w:val="20"/>
        </w:rPr>
        <w:t>указанный</w:t>
      </w:r>
      <w:proofErr w:type="gramEnd"/>
      <w:r>
        <w:rPr>
          <w:sz w:val="20"/>
          <w:szCs w:val="20"/>
        </w:rPr>
        <w:t xml:space="preserve"> в страховом свидетельстве обязате</w:t>
      </w:r>
      <w:r>
        <w:rPr>
          <w:sz w:val="20"/>
          <w:szCs w:val="20"/>
        </w:rPr>
        <w:t>льного пенсионного страхования).</w:t>
      </w:r>
      <w:bookmarkStart w:id="5" w:name="sub_1004"/>
      <w:bookmarkEnd w:id="5"/>
    </w:p>
    <w:p w:rsidR="00E014B5" w:rsidRDefault="00B347CA">
      <w:pPr>
        <w:ind w:left="-1134" w:right="-285"/>
        <w:jc w:val="both"/>
      </w:pPr>
      <w:r>
        <w:rPr>
          <w:sz w:val="20"/>
          <w:szCs w:val="20"/>
        </w:rPr>
        <w:tab/>
        <w:t xml:space="preserve">Форма заявления о выплате вознаграждения размещена на официальном сайте управления в информационно-телекоммуникационной сети "Интернет" по адресу: </w:t>
      </w:r>
      <w:hyperlink r:id="rId7">
        <w:r>
          <w:rPr>
            <w:rStyle w:val="a3"/>
            <w:color w:val="auto"/>
            <w:sz w:val="20"/>
            <w:szCs w:val="20"/>
          </w:rPr>
          <w:t>www.am</w:t>
        </w:r>
        <w:r>
          <w:rPr>
            <w:rStyle w:val="a3"/>
            <w:color w:val="auto"/>
            <w:sz w:val="20"/>
            <w:szCs w:val="20"/>
          </w:rPr>
          <w:t>urohota.ru</w:t>
        </w:r>
      </w:hyperlink>
      <w:r>
        <w:rPr>
          <w:sz w:val="20"/>
          <w:szCs w:val="20"/>
        </w:rPr>
        <w:t>. К заявлению о выплате вознаграждения прилагаются следующие документы: а) справка о банковских реквизитах счета гражданина, выданная кредитной организацией, в которой открыт счёт; б) копия документа, удостоверяющего личность гражданина; в) заклю</w:t>
      </w:r>
      <w:r>
        <w:rPr>
          <w:sz w:val="20"/>
          <w:szCs w:val="20"/>
        </w:rPr>
        <w:t xml:space="preserve">чение территориального органа МВД России, подтверждающее добровольную сдачу гражданином оружия в соответствующий территориальный орган МВД России и содержащее сведения о категории сданного оружия согласно </w:t>
      </w:r>
      <w:hyperlink w:anchor="sub_1003">
        <w:r>
          <w:rPr>
            <w:rStyle w:val="a3"/>
            <w:color w:val="auto"/>
            <w:sz w:val="20"/>
            <w:szCs w:val="20"/>
          </w:rPr>
          <w:t>пункту 3</w:t>
        </w:r>
      </w:hyperlink>
      <w:r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Порядка и его количестве.</w:t>
      </w:r>
    </w:p>
    <w:p w:rsidR="00E014B5" w:rsidRDefault="00B347CA">
      <w:pPr>
        <w:ind w:left="-1134" w:right="-285"/>
        <w:jc w:val="both"/>
        <w:rPr>
          <w:sz w:val="20"/>
          <w:szCs w:val="20"/>
        </w:rPr>
      </w:pPr>
      <w:bookmarkStart w:id="6" w:name="sub_1005"/>
      <w:r>
        <w:rPr>
          <w:sz w:val="20"/>
          <w:szCs w:val="20"/>
        </w:rPr>
        <w:tab/>
      </w:r>
      <w:bookmarkStart w:id="7" w:name="sub_1006"/>
      <w:bookmarkEnd w:id="6"/>
      <w:r>
        <w:rPr>
          <w:sz w:val="20"/>
          <w:szCs w:val="20"/>
        </w:rPr>
        <w:t>Заявление и документы, могут быть представлены в управление гражданином лично или направлены по почте.</w:t>
      </w:r>
    </w:p>
    <w:bookmarkEnd w:id="7"/>
    <w:p w:rsidR="00E014B5" w:rsidRDefault="00B347CA">
      <w:pPr>
        <w:ind w:left="-1134" w:right="-285"/>
        <w:jc w:val="both"/>
      </w:pPr>
      <w:r>
        <w:rPr>
          <w:sz w:val="20"/>
          <w:szCs w:val="20"/>
        </w:rPr>
        <w:tab/>
        <w:t>Вознаграждение выплачивается гражданину путём перечисления денежных средств на принадлежащий ему счёт, открытый в кредитной о</w:t>
      </w:r>
      <w:r>
        <w:rPr>
          <w:sz w:val="20"/>
          <w:szCs w:val="20"/>
        </w:rPr>
        <w:t xml:space="preserve">рганизации, по реквизитам, указанным в справке о банковских реквизитах счета, в течение 30 дней </w:t>
      </w:r>
      <w:proofErr w:type="spellStart"/>
      <w:proofErr w:type="gramStart"/>
      <w:r>
        <w:rPr>
          <w:sz w:val="20"/>
          <w:szCs w:val="20"/>
        </w:rPr>
        <w:t>дней</w:t>
      </w:r>
      <w:proofErr w:type="spellEnd"/>
      <w:proofErr w:type="gramEnd"/>
      <w:r>
        <w:rPr>
          <w:sz w:val="20"/>
          <w:szCs w:val="20"/>
        </w:rPr>
        <w:t xml:space="preserve"> со дня поступления в управление документов, указанных в </w:t>
      </w:r>
      <w:hyperlink w:anchor="sub_1004">
        <w:r>
          <w:rPr>
            <w:rStyle w:val="a3"/>
            <w:color w:val="auto"/>
            <w:sz w:val="20"/>
            <w:szCs w:val="20"/>
          </w:rPr>
          <w:t>пункте 4</w:t>
        </w:r>
      </w:hyperlink>
      <w:r>
        <w:rPr>
          <w:sz w:val="20"/>
          <w:szCs w:val="20"/>
        </w:rPr>
        <w:t xml:space="preserve"> настоящего Порядка (при отсутствии оснований для отказа в в</w:t>
      </w:r>
      <w:r>
        <w:rPr>
          <w:sz w:val="20"/>
          <w:szCs w:val="20"/>
        </w:rPr>
        <w:t>ыплате вознаграждения).</w:t>
      </w:r>
    </w:p>
    <w:p w:rsidR="00E014B5" w:rsidRDefault="00B347CA">
      <w:pPr>
        <w:ind w:left="-1134" w:right="-285"/>
        <w:jc w:val="both"/>
        <w:rPr>
          <w:sz w:val="20"/>
          <w:szCs w:val="20"/>
        </w:rPr>
      </w:pPr>
      <w:bookmarkStart w:id="8" w:name="sub_1007"/>
      <w:bookmarkEnd w:id="8"/>
      <w:r>
        <w:rPr>
          <w:sz w:val="20"/>
          <w:szCs w:val="20"/>
        </w:rPr>
        <w:tab/>
        <w:t>Отказ гражданину в выплате вознаграждения при наличии любого из следующих оснований:</w:t>
      </w:r>
    </w:p>
    <w:p w:rsidR="00E014B5" w:rsidRDefault="00B347CA">
      <w:pPr>
        <w:ind w:left="-1134" w:right="-285"/>
        <w:jc w:val="both"/>
        <w:rPr>
          <w:sz w:val="20"/>
          <w:szCs w:val="20"/>
        </w:rPr>
      </w:pPr>
      <w:bookmarkStart w:id="9" w:name="sub_1008"/>
      <w:bookmarkEnd w:id="9"/>
      <w:r>
        <w:rPr>
          <w:sz w:val="20"/>
          <w:szCs w:val="20"/>
        </w:rPr>
        <w:tab/>
        <w:t>1) представление не всех документов, которые должны быть представлены;</w:t>
      </w:r>
    </w:p>
    <w:p w:rsidR="00E014B5" w:rsidRDefault="00B347CA">
      <w:pPr>
        <w:ind w:left="-1134" w:right="-285"/>
        <w:jc w:val="both"/>
        <w:rPr>
          <w:sz w:val="20"/>
          <w:szCs w:val="20"/>
        </w:rPr>
      </w:pPr>
      <w:bookmarkStart w:id="10" w:name="sub_1081"/>
      <w:bookmarkEnd w:id="10"/>
      <w:r>
        <w:rPr>
          <w:sz w:val="20"/>
          <w:szCs w:val="20"/>
        </w:rPr>
        <w:tab/>
        <w:t>2) нарушение срока представления документов;</w:t>
      </w:r>
    </w:p>
    <w:p w:rsidR="00E014B5" w:rsidRDefault="00B347CA">
      <w:pPr>
        <w:ind w:left="-1134" w:right="-285"/>
        <w:jc w:val="both"/>
        <w:rPr>
          <w:sz w:val="20"/>
          <w:szCs w:val="20"/>
        </w:rPr>
      </w:pPr>
      <w:bookmarkStart w:id="11" w:name="sub_1082"/>
      <w:bookmarkEnd w:id="11"/>
      <w:r>
        <w:rPr>
          <w:sz w:val="20"/>
          <w:szCs w:val="20"/>
        </w:rPr>
        <w:tab/>
        <w:t>3) представление недействит</w:t>
      </w:r>
      <w:r>
        <w:rPr>
          <w:sz w:val="20"/>
          <w:szCs w:val="20"/>
        </w:rPr>
        <w:t>ельных документов или документов, не соответствующих установленной форме;</w:t>
      </w:r>
    </w:p>
    <w:p w:rsidR="00E014B5" w:rsidRDefault="00B347CA">
      <w:pPr>
        <w:ind w:left="-1134" w:right="-285"/>
        <w:jc w:val="both"/>
        <w:rPr>
          <w:sz w:val="20"/>
          <w:szCs w:val="20"/>
        </w:rPr>
      </w:pPr>
      <w:bookmarkStart w:id="12" w:name="sub_1083"/>
      <w:bookmarkEnd w:id="12"/>
      <w:r>
        <w:rPr>
          <w:sz w:val="20"/>
          <w:szCs w:val="20"/>
        </w:rPr>
        <w:tab/>
        <w:t>4) недостаточность бюджетных ассигнований и лимитов бюджетных обязательств, предусмотренных управлению на выплату вознаграждения на текущий финансовый год.</w:t>
      </w:r>
      <w:bookmarkStart w:id="13" w:name="sub_1084"/>
      <w:bookmarkEnd w:id="13"/>
    </w:p>
    <w:p w:rsidR="00E014B5" w:rsidRDefault="00B347CA">
      <w:pPr>
        <w:ind w:left="-1134" w:right="-285"/>
        <w:jc w:val="both"/>
      </w:pPr>
      <w:r>
        <w:rPr>
          <w:sz w:val="20"/>
          <w:szCs w:val="20"/>
        </w:rPr>
        <w:tab/>
        <w:t xml:space="preserve">Управление в течение 10 </w:t>
      </w:r>
      <w:r>
        <w:rPr>
          <w:sz w:val="20"/>
          <w:szCs w:val="20"/>
        </w:rPr>
        <w:t xml:space="preserve">рабочих дней со дня выделения дополнительных бюджетных ассигнований на выплату вознаграждения с учетом выделяемых средств выплачивает вознаграждение гражданам, которым ранее было отказано в выплате вознаграждения по основанию, указанному в </w:t>
      </w:r>
      <w:hyperlink w:anchor="sub_1084">
        <w:r>
          <w:rPr>
            <w:rStyle w:val="a3"/>
            <w:color w:val="auto"/>
            <w:sz w:val="20"/>
            <w:szCs w:val="20"/>
          </w:rPr>
          <w:t>подпункте 4</w:t>
        </w:r>
      </w:hyperlink>
      <w:r>
        <w:rPr>
          <w:sz w:val="20"/>
          <w:szCs w:val="20"/>
        </w:rPr>
        <w:t xml:space="preserve"> настоящего пункта (при отсутствии иных оснований для отказа в выплате вознаграждения).</w:t>
      </w:r>
    </w:p>
    <w:p w:rsidR="00E014B5" w:rsidRDefault="00B347CA">
      <w:pPr>
        <w:ind w:left="-1134" w:right="-285"/>
        <w:jc w:val="both"/>
      </w:pPr>
      <w:bookmarkStart w:id="14" w:name="sub_1009"/>
      <w:r>
        <w:rPr>
          <w:sz w:val="20"/>
          <w:szCs w:val="20"/>
        </w:rPr>
        <w:tab/>
        <w:t xml:space="preserve">В случае отказа в выплате вознаграждения гражданин письменно информируется управлением о принятом решении не позднее 10 рабочих дней </w:t>
      </w:r>
      <w:proofErr w:type="gramStart"/>
      <w:r>
        <w:rPr>
          <w:sz w:val="20"/>
          <w:szCs w:val="20"/>
        </w:rPr>
        <w:t>со дня п</w:t>
      </w:r>
      <w:r>
        <w:rPr>
          <w:sz w:val="20"/>
          <w:szCs w:val="20"/>
        </w:rPr>
        <w:t>оступления в управление заявления о выплате вознаграждения с указанием оснований для отказа</w:t>
      </w:r>
      <w:proofErr w:type="gramEnd"/>
      <w:r>
        <w:rPr>
          <w:sz w:val="20"/>
          <w:szCs w:val="20"/>
        </w:rPr>
        <w:t>.</w:t>
      </w:r>
      <w:bookmarkEnd w:id="14"/>
    </w:p>
    <w:p w:rsidR="00E014B5" w:rsidRDefault="00B347CA">
      <w:pPr>
        <w:ind w:left="-1134" w:right="-285"/>
        <w:jc w:val="both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За разъяснениями конкретных вопросов, вы можете обратиться к старшему инспектору направления лицензионн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разрешительной работы по Тамбовскому району Управления </w:t>
      </w:r>
      <w:proofErr w:type="spellStart"/>
      <w:r>
        <w:rPr>
          <w:sz w:val="20"/>
          <w:szCs w:val="20"/>
        </w:rPr>
        <w:t>Р</w:t>
      </w:r>
      <w:r>
        <w:rPr>
          <w:sz w:val="20"/>
          <w:szCs w:val="20"/>
        </w:rPr>
        <w:t>осгвардии</w:t>
      </w:r>
      <w:proofErr w:type="spellEnd"/>
      <w:r>
        <w:rPr>
          <w:sz w:val="20"/>
          <w:szCs w:val="20"/>
        </w:rPr>
        <w:t xml:space="preserve"> по Амурской области </w:t>
      </w:r>
      <w:r>
        <w:rPr>
          <w:bCs/>
          <w:sz w:val="20"/>
          <w:szCs w:val="20"/>
        </w:rPr>
        <w:t>в приёмные дни: во вторник с 09 часов 00 минут до 17 часов 30 минут, в четверг 09 часов 00 минут до 17 часов 30 минут, обеденный перерыв с 12 часов 30 минут до 14 часов 00 минут</w:t>
      </w:r>
      <w:r>
        <w:rPr>
          <w:sz w:val="20"/>
          <w:szCs w:val="20"/>
        </w:rPr>
        <w:t xml:space="preserve"> (ул. </w:t>
      </w:r>
      <w:proofErr w:type="spellStart"/>
      <w:r>
        <w:rPr>
          <w:sz w:val="20"/>
          <w:szCs w:val="20"/>
        </w:rPr>
        <w:t>Штой</w:t>
      </w:r>
      <w:bookmarkStart w:id="15" w:name="_GoBack"/>
      <w:bookmarkEnd w:id="15"/>
      <w:r>
        <w:rPr>
          <w:sz w:val="20"/>
          <w:szCs w:val="20"/>
        </w:rPr>
        <w:t>ко</w:t>
      </w:r>
      <w:proofErr w:type="spellEnd"/>
      <w:r>
        <w:rPr>
          <w:sz w:val="20"/>
          <w:szCs w:val="20"/>
        </w:rPr>
        <w:t xml:space="preserve">, д. 18,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№ 2, т. 84163821-7-40).</w:t>
      </w:r>
    </w:p>
    <w:p w:rsidR="00E014B5" w:rsidRDefault="00E014B5">
      <w:pPr>
        <w:ind w:left="-1134" w:right="-285"/>
        <w:jc w:val="both"/>
        <w:rPr>
          <w:sz w:val="20"/>
          <w:szCs w:val="20"/>
        </w:rPr>
      </w:pPr>
    </w:p>
    <w:p w:rsidR="00E014B5" w:rsidRDefault="00E014B5">
      <w:pPr>
        <w:ind w:left="-1134" w:right="-285"/>
        <w:jc w:val="both"/>
        <w:rPr>
          <w:sz w:val="20"/>
          <w:szCs w:val="20"/>
        </w:rPr>
      </w:pPr>
    </w:p>
    <w:p w:rsidR="00E014B5" w:rsidRDefault="00B347CA">
      <w:pPr>
        <w:ind w:left="-1134" w:right="-285"/>
        <w:jc w:val="both"/>
      </w:pPr>
      <w:r>
        <w:rPr>
          <w:sz w:val="20"/>
          <w:szCs w:val="20"/>
        </w:rPr>
        <w:t>Старший инспектор направления ЛРР</w:t>
      </w:r>
    </w:p>
    <w:p w:rsidR="00E014B5" w:rsidRDefault="00B347CA">
      <w:pPr>
        <w:ind w:left="-1134" w:right="-2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П.С. </w:t>
      </w:r>
      <w:proofErr w:type="spellStart"/>
      <w:r>
        <w:rPr>
          <w:sz w:val="20"/>
          <w:szCs w:val="20"/>
        </w:rPr>
        <w:t>Шатохин</w:t>
      </w:r>
      <w:proofErr w:type="spellEnd"/>
    </w:p>
    <w:p w:rsidR="00E014B5" w:rsidRDefault="00E014B5">
      <w:pPr>
        <w:ind w:left="-1134" w:right="-285" w:firstLine="708"/>
        <w:jc w:val="both"/>
        <w:rPr>
          <w:sz w:val="20"/>
          <w:szCs w:val="20"/>
        </w:rPr>
      </w:pPr>
    </w:p>
    <w:p w:rsidR="00E014B5" w:rsidRDefault="00E014B5">
      <w:pPr>
        <w:ind w:left="-1134" w:right="-285"/>
        <w:rPr>
          <w:sz w:val="20"/>
          <w:szCs w:val="20"/>
        </w:rPr>
      </w:pPr>
    </w:p>
    <w:p w:rsidR="00E014B5" w:rsidRDefault="00E014B5"/>
    <w:sectPr w:rsidR="00E014B5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B5"/>
    <w:rsid w:val="00B347CA"/>
    <w:rsid w:val="00E0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6E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ED7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ED76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ED76E4"/>
    <w:rPr>
      <w:color w:val="106BBE"/>
    </w:rPr>
  </w:style>
  <w:style w:type="character" w:customStyle="1" w:styleId="ListLabel1">
    <w:name w:val="ListLabel 1"/>
    <w:qFormat/>
    <w:rPr>
      <w:color w:val="auto"/>
      <w:sz w:val="20"/>
      <w:szCs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9">
    <w:name w:val="Нормальный (таблица)"/>
    <w:basedOn w:val="a"/>
    <w:next w:val="a"/>
    <w:uiPriority w:val="99"/>
    <w:qFormat/>
    <w:rsid w:val="00ED76E4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qFormat/>
    <w:rsid w:val="00ED76E4"/>
    <w:pPr>
      <w:widowControl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6E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ED7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ED76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ED76E4"/>
    <w:rPr>
      <w:color w:val="106BBE"/>
    </w:rPr>
  </w:style>
  <w:style w:type="character" w:customStyle="1" w:styleId="ListLabel1">
    <w:name w:val="ListLabel 1"/>
    <w:qFormat/>
    <w:rPr>
      <w:color w:val="auto"/>
      <w:sz w:val="20"/>
      <w:szCs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9">
    <w:name w:val="Нормальный (таблица)"/>
    <w:basedOn w:val="a"/>
    <w:next w:val="a"/>
    <w:uiPriority w:val="99"/>
    <w:qFormat/>
    <w:rsid w:val="00ED76E4"/>
    <w:pPr>
      <w:widowControl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qFormat/>
    <w:rsid w:val="00ED76E4"/>
    <w:pPr>
      <w:widowControl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24047578&amp;sub=217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24024528&amp;sub=1000" TargetMode="External"/><Relationship Id="rId5" Type="http://schemas.openxmlformats.org/officeDocument/2006/relationships/hyperlink" Target="http://80.253.4.49/document?id=2402985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2016-05-18T05:02:00Z</cp:lastPrinted>
  <dcterms:created xsi:type="dcterms:W3CDTF">2020-10-06T00:58:00Z</dcterms:created>
  <dcterms:modified xsi:type="dcterms:W3CDTF">2020-10-06T00:58:00Z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