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6B30FA">
            <w:pPr>
              <w:spacing w:line="276" w:lineRule="auto"/>
              <w:rPr>
                <w:b/>
              </w:rPr>
            </w:pPr>
            <w:r>
              <w:rPr>
                <w:b/>
              </w:rPr>
              <w:t>23.11.2015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6B30F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6B30FA">
              <w:rPr>
                <w:b/>
              </w:rPr>
              <w:t>900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 xml:space="preserve"> «Энергосбережение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 и повышение энергетической эффективности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учреждениях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2B7E">
        <w:rPr>
          <w:sz w:val="28"/>
          <w:szCs w:val="28"/>
        </w:rPr>
        <w:t xml:space="preserve">; </w:t>
      </w:r>
      <w:proofErr w:type="gramStart"/>
      <w:r w:rsidR="00052D9B">
        <w:rPr>
          <w:sz w:val="28"/>
          <w:szCs w:val="28"/>
        </w:rPr>
        <w:t>от</w:t>
      </w:r>
      <w:proofErr w:type="gramEnd"/>
      <w:r w:rsidR="00052D9B">
        <w:rPr>
          <w:sz w:val="28"/>
          <w:szCs w:val="28"/>
        </w:rPr>
        <w:t xml:space="preserve"> 19.08.2015 № 715; от 15.09.2015 № 771</w:t>
      </w:r>
      <w:r>
        <w:rPr>
          <w:sz w:val="28"/>
          <w:szCs w:val="28"/>
        </w:rPr>
        <w:t>):</w:t>
      </w:r>
    </w:p>
    <w:p w:rsidR="00A305E9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05E9">
        <w:rPr>
          <w:sz w:val="28"/>
          <w:szCs w:val="28"/>
        </w:rPr>
        <w:t xml:space="preserve">В разделе 2 «Приоритеты государственной политики в сфере реализации Программы, цели, задачи, ожидаемые и конечные результаты» </w:t>
      </w:r>
      <w:r w:rsidR="002C0DC3">
        <w:rPr>
          <w:sz w:val="28"/>
          <w:szCs w:val="28"/>
        </w:rPr>
        <w:t xml:space="preserve">подпункт а) </w:t>
      </w:r>
      <w:r w:rsidR="00A305E9">
        <w:rPr>
          <w:sz w:val="28"/>
          <w:szCs w:val="28"/>
        </w:rPr>
        <w:t xml:space="preserve">пункта 3 дополнить строкой следующего содержания «- </w:t>
      </w:r>
      <w:r w:rsidR="00052D9B">
        <w:rPr>
          <w:sz w:val="28"/>
          <w:szCs w:val="28"/>
        </w:rPr>
        <w:t>изготовление и установка оконных блоков из профиля ПВХ</w:t>
      </w:r>
      <w:r w:rsidR="00A305E9">
        <w:rPr>
          <w:sz w:val="28"/>
          <w:szCs w:val="28"/>
        </w:rPr>
        <w:t xml:space="preserve"> – 100%».</w:t>
      </w:r>
    </w:p>
    <w:p w:rsidR="00A305E9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1</w:t>
      </w:r>
      <w:r w:rsidR="00C21183">
        <w:rPr>
          <w:sz w:val="28"/>
          <w:szCs w:val="28"/>
        </w:rPr>
        <w:t>, Приложение № 3</w:t>
      </w:r>
      <w:r>
        <w:rPr>
          <w:sz w:val="28"/>
          <w:szCs w:val="28"/>
        </w:rPr>
        <w:t xml:space="preserve"> и № </w:t>
      </w:r>
      <w:r w:rsidR="00C21183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муниципальной программы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85B0B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262B42" w:rsidRDefault="00262B42" w:rsidP="00085B0B">
      <w:pPr>
        <w:sectPr w:rsidR="00262B42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B0B" w:rsidRDefault="00085B0B" w:rsidP="00085B0B"/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52D9B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52D9B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3B40" w:rsidRPr="00C651B4" w:rsidTr="000A3B40">
        <w:tblPrEx>
          <w:tblLook w:val="04A0"/>
        </w:tblPrEx>
        <w:trPr>
          <w:trHeight w:val="800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56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из профиля ПВХ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муниципальных учреждений (далее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У) района, оснащенных энергосберегающими окнами в общем количестве МУ, %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B40" w:rsidRDefault="000A3B40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40" w:rsidRDefault="000A3B4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562BDE" w:rsidRPr="00C651B4" w:rsidTr="006B2B7E">
        <w:tblPrEx>
          <w:tblLook w:val="04A0"/>
        </w:tblPrEx>
        <w:trPr>
          <w:trHeight w:val="18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DE" w:rsidRDefault="00562BDE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5E3760" w:rsidRPr="00C651B4" w:rsidTr="005E3760">
        <w:tblPrEx>
          <w:tblLook w:val="04A0"/>
        </w:tblPrEx>
        <w:trPr>
          <w:trHeight w:val="132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60" w:rsidRDefault="005E3760" w:rsidP="005E3760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60" w:rsidRDefault="005E3760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D671C3">
              <w:rPr>
                <w:sz w:val="20"/>
                <w:szCs w:val="20"/>
              </w:rPr>
              <w:t>,0</w:t>
            </w:r>
          </w:p>
        </w:tc>
      </w:tr>
      <w:tr w:rsidR="00262B42" w:rsidRPr="00C651B4" w:rsidTr="00262B42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262B42" w:rsidRPr="00C651B4" w:rsidTr="00262B42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D71873" w:rsidRDefault="00D71873" w:rsidP="00D71873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муниципальной программе</w:t>
      </w: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tbl>
      <w:tblPr>
        <w:tblW w:w="16020" w:type="dxa"/>
        <w:tblInd w:w="-718" w:type="dxa"/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«Дирекция по обслуживанию зданий и </w:t>
            </w:r>
            <w:r>
              <w:rPr>
                <w:sz w:val="20"/>
                <w:szCs w:val="20"/>
              </w:rPr>
              <w:lastRenderedPageBreak/>
              <w:t>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>
              <w:rPr>
                <w:b/>
                <w:sz w:val="20"/>
                <w:szCs w:val="20"/>
              </w:rPr>
              <w:t>системных</w:t>
            </w:r>
            <w:proofErr w:type="gramEnd"/>
            <w:r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Default="000D06EE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06EE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1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335EF1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5EF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5EF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0B"/>
    <w:rsid w:val="0000199E"/>
    <w:rsid w:val="00006D1C"/>
    <w:rsid w:val="00037C11"/>
    <w:rsid w:val="00052D9B"/>
    <w:rsid w:val="00085B0B"/>
    <w:rsid w:val="000A3B40"/>
    <w:rsid w:val="000D06EE"/>
    <w:rsid w:val="000D52D5"/>
    <w:rsid w:val="000E3C03"/>
    <w:rsid w:val="00137E13"/>
    <w:rsid w:val="001A1776"/>
    <w:rsid w:val="001A181A"/>
    <w:rsid w:val="001B7399"/>
    <w:rsid w:val="00262B42"/>
    <w:rsid w:val="002C0DC3"/>
    <w:rsid w:val="002F3864"/>
    <w:rsid w:val="00335EF1"/>
    <w:rsid w:val="003516AF"/>
    <w:rsid w:val="003838FA"/>
    <w:rsid w:val="00444C21"/>
    <w:rsid w:val="004647DF"/>
    <w:rsid w:val="00485F6B"/>
    <w:rsid w:val="004E163A"/>
    <w:rsid w:val="00562BDE"/>
    <w:rsid w:val="005D156A"/>
    <w:rsid w:val="005D7090"/>
    <w:rsid w:val="005E3760"/>
    <w:rsid w:val="006B2B7E"/>
    <w:rsid w:val="006B30FA"/>
    <w:rsid w:val="007867DE"/>
    <w:rsid w:val="007B1ED7"/>
    <w:rsid w:val="008025F9"/>
    <w:rsid w:val="00A305E9"/>
    <w:rsid w:val="00AE68CA"/>
    <w:rsid w:val="00B82B95"/>
    <w:rsid w:val="00BA0B0D"/>
    <w:rsid w:val="00C029E9"/>
    <w:rsid w:val="00C21183"/>
    <w:rsid w:val="00D3174E"/>
    <w:rsid w:val="00D54D98"/>
    <w:rsid w:val="00D671C3"/>
    <w:rsid w:val="00D71873"/>
    <w:rsid w:val="00E52B90"/>
    <w:rsid w:val="00FE40DD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25</cp:revision>
  <cp:lastPrinted>2015-12-04T05:00:00Z</cp:lastPrinted>
  <dcterms:created xsi:type="dcterms:W3CDTF">2015-08-17T22:26:00Z</dcterms:created>
  <dcterms:modified xsi:type="dcterms:W3CDTF">2015-12-04T05:20:00Z</dcterms:modified>
</cp:coreProperties>
</file>